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77" w:rsidRDefault="00415277" w:rsidP="00415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77">
        <w:rPr>
          <w:rFonts w:ascii="Times New Roman" w:hAnsi="Times New Roman" w:cs="Times New Roman"/>
          <w:b/>
          <w:sz w:val="28"/>
          <w:szCs w:val="28"/>
        </w:rPr>
        <w:t>ДЕЙСТВИЯ СУБЪЕКТОВ МСП ПРИ КОРОНАВИРУСЕ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15277" w:rsidRPr="00415277" w:rsidRDefault="00415277" w:rsidP="004152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277" w:rsidRDefault="00415277" w:rsidP="00415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>Для получения информации об актуальных мерах поддержки от Правительства Российской Федерации рекомендуем посетить следующие сайты:</w:t>
      </w:r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</w:t>
      </w:r>
      <w:hyperlink r:id="rId4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www.economy.gov.ru</w:t>
        </w:r>
      </w:hyperlink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</w:t>
      </w:r>
      <w:hyperlink r:id="rId5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www.rospotrebnadzor.ru</w:t>
        </w:r>
      </w:hyperlink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</w:t>
      </w:r>
      <w:hyperlink r:id="rId6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www.cbr.ru</w:t>
        </w:r>
      </w:hyperlink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</w:t>
      </w:r>
      <w:hyperlink r:id="rId7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www.msp.economy.gov.ru</w:t>
        </w:r>
      </w:hyperlink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</w:t>
      </w:r>
      <w:hyperlink r:id="rId8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https://corpmsp.ru</w:t>
        </w:r>
      </w:hyperlink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−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www.tpprf.ru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</w:t>
      </w:r>
      <w:hyperlink r:id="rId9" w:history="1">
        <w:r w:rsidRPr="00F13F41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https://cloud.mail.ru/public/5z2B/fUDjPoopA</w:t>
        </w:r>
      </w:hyperlink>
    </w:p>
    <w:p w:rsidR="00000000" w:rsidRPr="00415277" w:rsidRDefault="00415277">
      <w:pPr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415277" w:rsidRPr="00415277" w:rsidRDefault="00415277" w:rsidP="00415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77">
        <w:rPr>
          <w:rFonts w:ascii="Times New Roman" w:hAnsi="Times New Roman" w:cs="Times New Roman"/>
          <w:b/>
          <w:sz w:val="28"/>
          <w:szCs w:val="28"/>
        </w:rPr>
        <w:t>ЛЬГОТЫ ДЛЯ ПРЕДПРИНИМАТЕЛЕЙ, ВВЕДЁННЫЕ ПРАВИТЕЛЬСТВОМ РОССИЙСКОЙ ФЕДЕРАЦИИ ИЗ-ЗА КОРОНАВИРУСА</w:t>
      </w:r>
    </w:p>
    <w:p w:rsidR="00415277" w:rsidRPr="00415277" w:rsidRDefault="00415277">
      <w:pPr>
        <w:rPr>
          <w:rFonts w:ascii="Times New Roman" w:hAnsi="Times New Roman" w:cs="Times New Roman"/>
          <w:b/>
          <w:sz w:val="28"/>
          <w:szCs w:val="28"/>
        </w:rPr>
      </w:pPr>
      <w:r w:rsidRPr="00415277">
        <w:rPr>
          <w:rFonts w:ascii="Times New Roman" w:hAnsi="Times New Roman" w:cs="Times New Roman"/>
          <w:b/>
          <w:sz w:val="28"/>
          <w:szCs w:val="28"/>
        </w:rPr>
        <w:t xml:space="preserve"> Кого затронут льготы? 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1. Критерии малого предприятия (в том числе ИП) — среднесписочная численность не более 100 человек и доход не более 800 </w:t>
      </w:r>
      <w:proofErr w:type="spellStart"/>
      <w:proofErr w:type="gramStart"/>
      <w:r w:rsidRPr="0041527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руб. Минимум 51% уставного капитала ООО должно принадлежать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физлицам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 или организациям — СМП. Доля организаций, не относящихся к СМП, не должна превышать 49%, доля государства, регионов или НКО — 25%. 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2. Критерии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 (в том числе ИП) — среднесписочная численность не более 15 человек и доход не более 120 </w:t>
      </w:r>
      <w:proofErr w:type="spellStart"/>
      <w:proofErr w:type="gramStart"/>
      <w:r w:rsidRPr="0041527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руб. Ограничения по структуре уставного капитала — те же, что и для малых предприятий.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3. Критерии среднего предприятия (в том числе ИП) — среднесписочная численность не более 250 человек и доход не более 2 </w:t>
      </w:r>
      <w:proofErr w:type="spellStart"/>
      <w:proofErr w:type="gramStart"/>
      <w:r w:rsidRPr="00415277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руб. Ограничения по структуре уставного капитала — те же, что и для малых предприятий. </w:t>
      </w:r>
      <w:r w:rsidRPr="00415277">
        <w:rPr>
          <w:rFonts w:ascii="Times New Roman" w:hAnsi="Times New Roman" w:cs="Times New Roman"/>
          <w:sz w:val="28"/>
          <w:szCs w:val="28"/>
        </w:rPr>
        <w:lastRenderedPageBreak/>
        <w:t>Среднесписочную численность и доход оценивают за предыдущий год, доход считают по данным налогового учета без НДС.</w:t>
      </w:r>
    </w:p>
    <w:p w:rsidR="00415277" w:rsidRPr="00415277" w:rsidRDefault="00415277" w:rsidP="00415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77">
        <w:rPr>
          <w:rFonts w:ascii="Times New Roman" w:hAnsi="Times New Roman" w:cs="Times New Roman"/>
          <w:b/>
          <w:sz w:val="28"/>
          <w:szCs w:val="28"/>
        </w:rPr>
        <w:t>Какие виды бизнеса считаются пострадавшими от пандемии?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В перечень «пострадавших» попали следующие виды деятельности: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авиаперевозки, аэропортовая деятельность, автоперевозки (ОКВЭД: 49.3, 49.4, 51.1, 51.21, 52.23.1, 52.23.11, 52.23.12, 52.23.13, 52.23.19)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культура, организация досуга и развлечений (ОКВЭД: 90)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>− физкультурно-оздоровительная деятельность и спорт (ОКВЭД: 93, 96.04, 86.90.4)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деятельность туристических агентств и других организаций в сфере туризма (ОКВЭД: 79) 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− гостиничный бизнес (ОКВЭД: 55) 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>− общественное питание (ОКВЭД: 56)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организации дополнительного образования и негосударственные образовательные учреждения (ОКВЭД: 85.41, 88.91) 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>− деятельность по организации конференций и выставок (ОКВЭД: 82.3)</w:t>
      </w:r>
    </w:p>
    <w:p w:rsidR="00415277" w:rsidRDefault="00415277" w:rsidP="00415277">
      <w:pPr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− деятельность по предоставлению бытовых услуг населению (ремонт, стирка, химчистка, услуги парикмахерских и салонов красоты) (ОКВЭД: 95, 96.01, 96.02) (постановление Правительства Российской Федерации от 3 апреля 2020 г № 434)</w:t>
      </w:r>
    </w:p>
    <w:p w:rsidR="00415277" w:rsidRDefault="00415277" w:rsidP="00415277">
      <w:pPr>
        <w:rPr>
          <w:rFonts w:ascii="Times New Roman" w:hAnsi="Times New Roman" w:cs="Times New Roman"/>
          <w:sz w:val="28"/>
          <w:szCs w:val="28"/>
        </w:rPr>
      </w:pPr>
    </w:p>
    <w:p w:rsidR="00415277" w:rsidRPr="00415277" w:rsidRDefault="00415277" w:rsidP="0041527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277">
        <w:rPr>
          <w:rFonts w:ascii="Times New Roman" w:hAnsi="Times New Roman" w:cs="Times New Roman"/>
          <w:b/>
          <w:sz w:val="28"/>
          <w:szCs w:val="28"/>
        </w:rPr>
        <w:t>Общие меры: Контрольно-надзорная деятельность</w:t>
      </w:r>
      <w:proofErr w:type="gramStart"/>
      <w:r w:rsidRPr="0041527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415277" w:rsidRDefault="00415277" w:rsidP="00415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Федеральными, региональными и </w:t>
      </w:r>
      <w:proofErr w:type="gramStart"/>
      <w:r w:rsidRPr="00415277">
        <w:rPr>
          <w:rFonts w:ascii="Times New Roman" w:hAnsi="Times New Roman" w:cs="Times New Roman"/>
          <w:sz w:val="28"/>
          <w:szCs w:val="28"/>
        </w:rPr>
        <w:t>муниципальными органами власти, осуществляющими контрольно-надзорную деятельность приостановлено</w:t>
      </w:r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проведение проверок до конца 2020 года.</w:t>
      </w:r>
    </w:p>
    <w:p w:rsidR="00415277" w:rsidRPr="00415277" w:rsidRDefault="00415277" w:rsidP="00415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277">
        <w:rPr>
          <w:rFonts w:ascii="Times New Roman" w:hAnsi="Times New Roman" w:cs="Times New Roman"/>
          <w:sz w:val="28"/>
          <w:szCs w:val="28"/>
        </w:rPr>
        <w:t xml:space="preserve"> Трудовые отношения</w:t>
      </w:r>
      <w:proofErr w:type="gramStart"/>
      <w:r w:rsidRPr="0041527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20 марта по 1 июля правительство ввело временные правила оформления больничных и выплаты пособий на период карантина: Лицам, прибывшим из стран, где был зафиксирован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, и тем, кто с ними проживает, дистанционно оформляются </w:t>
      </w:r>
      <w:proofErr w:type="gramStart"/>
      <w:r w:rsidRPr="00415277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больничные на 14 дней. Каждый регион определяет не более трех медицинских организаций, которые обеспечивают выдачу таких больничных. </w:t>
      </w:r>
      <w:r w:rsidRPr="00415277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выдаче </w:t>
      </w:r>
      <w:proofErr w:type="gramStart"/>
      <w:r w:rsidRPr="00415277">
        <w:rPr>
          <w:rFonts w:ascii="Times New Roman" w:hAnsi="Times New Roman" w:cs="Times New Roman"/>
          <w:sz w:val="28"/>
          <w:szCs w:val="28"/>
        </w:rPr>
        <w:t>больничного</w:t>
      </w:r>
      <w:proofErr w:type="gramEnd"/>
      <w:r w:rsidRPr="00415277">
        <w:rPr>
          <w:rFonts w:ascii="Times New Roman" w:hAnsi="Times New Roman" w:cs="Times New Roman"/>
          <w:sz w:val="28"/>
          <w:szCs w:val="28"/>
        </w:rPr>
        <w:t xml:space="preserve"> гражданин направляет через личный кабинет застрахованного на сайте ФСС. За него это может сделать другое лицо, у которого есть такой личный кабинет. К заявлению прилагаются сканы или фото подтверждающих документов. Работодатель должен представить в фонд сведения для назначения и выплаты пособия (по правилам </w:t>
      </w:r>
      <w:proofErr w:type="spellStart"/>
      <w:r w:rsidRPr="00415277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415277">
        <w:rPr>
          <w:rFonts w:ascii="Times New Roman" w:hAnsi="Times New Roman" w:cs="Times New Roman"/>
          <w:sz w:val="28"/>
          <w:szCs w:val="28"/>
        </w:rPr>
        <w:t xml:space="preserve"> проекта «Прямые выплаты»). На это дается два рабочих дня со дня получения запроса от ФСС или сообщения работником номера электронного больничного. За первые семь дней больничного фонд перечисляет пособие в течение одного рабочего дня со дня получения сведений от работодателя. За оставшийся период больничного — в течение дня после его окончания.</w:t>
      </w:r>
    </w:p>
    <w:sectPr w:rsidR="00415277" w:rsidRPr="0041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15277"/>
    <w:rsid w:val="0041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p.economy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spotrebnadzo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conomy.gov.ru" TargetMode="External"/><Relationship Id="rId9" Type="http://schemas.openxmlformats.org/officeDocument/2006/relationships/hyperlink" Target="https://cloud.mail.ru/public/5z2B/fUDjPoo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598</Words>
  <Characters>3410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2020-10-26T07:40:00Z</dcterms:created>
  <dcterms:modified xsi:type="dcterms:W3CDTF">2020-10-26T07:50:00Z</dcterms:modified>
</cp:coreProperties>
</file>