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Style w:val="a5"/>
          <w:rFonts w:ascii="Arial" w:hAnsi="Arial" w:cs="Arial"/>
          <w:color w:val="000000" w:themeColor="text1"/>
          <w:sz w:val="24"/>
          <w:szCs w:val="24"/>
        </w:rPr>
      </w:pPr>
      <w:r w:rsidRPr="00F8336D">
        <w:rPr>
          <w:rStyle w:val="a5"/>
          <w:rFonts w:ascii="Arial" w:hAnsi="Arial" w:cs="Arial"/>
          <w:color w:val="000000" w:themeColor="text1"/>
          <w:sz w:val="24"/>
          <w:szCs w:val="24"/>
        </w:rPr>
        <w:t>ОТЧЁТ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Style w:val="a5"/>
          <w:rFonts w:ascii="Arial" w:hAnsi="Arial" w:cs="Arial"/>
          <w:color w:val="000000" w:themeColor="text1"/>
          <w:sz w:val="24"/>
          <w:szCs w:val="24"/>
        </w:rPr>
      </w:pP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eastAsia="Times New Roman"/>
          <w:color w:val="000000"/>
          <w:sz w:val="24"/>
          <w:szCs w:val="24"/>
        </w:rPr>
      </w:pPr>
      <w:r w:rsidRPr="00F8336D">
        <w:rPr>
          <w:rStyle w:val="a5"/>
          <w:rFonts w:ascii="Arial" w:hAnsi="Arial" w:cs="Arial"/>
          <w:color w:val="000000" w:themeColor="text1"/>
          <w:sz w:val="24"/>
          <w:szCs w:val="24"/>
        </w:rPr>
        <w:t xml:space="preserve">Оценка эффективности реализации муниципальной программы  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>«Развитие  малого и среднего предпринимательства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в муниципальном образовании  </w:t>
      </w:r>
      <w:proofErr w:type="spellStart"/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>Берёзовское</w:t>
      </w:r>
      <w:proofErr w:type="spellEnd"/>
      <w:r w:rsidRPr="00F8336D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сельское поселение Галичского муниципального  района 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Костромской об</w:t>
      </w:r>
      <w:r w:rsidR="000B1FE5">
        <w:rPr>
          <w:rFonts w:ascii="Arial" w:eastAsia="Times New Roman" w:hAnsi="Arial" w:cs="Arial"/>
          <w:b/>
          <w:color w:val="000000"/>
          <w:sz w:val="24"/>
          <w:szCs w:val="24"/>
        </w:rPr>
        <w:t>ласти на 2022-2024 годы» за 2024</w:t>
      </w:r>
      <w:r w:rsidRPr="00F833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год.</w:t>
      </w:r>
    </w:p>
    <w:p w:rsidR="00737EB2" w:rsidRPr="00F8336D" w:rsidRDefault="00737EB2" w:rsidP="00737EB2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37EB2" w:rsidRDefault="00737EB2" w:rsidP="00737EB2">
      <w:pPr>
        <w:pStyle w:val="a3"/>
        <w:spacing w:before="0" w:beforeAutospacing="0" w:after="162" w:afterAutospacing="0" w:line="370" w:lineRule="atLeast"/>
        <w:jc w:val="both"/>
        <w:rPr>
          <w:color w:val="000000" w:themeColor="text1"/>
        </w:rPr>
      </w:pPr>
      <w:r>
        <w:rPr>
          <w:color w:val="000000" w:themeColor="text1"/>
        </w:rPr>
        <w:t>Основной целью  программы является:</w:t>
      </w:r>
    </w:p>
    <w:p w:rsidR="00737EB2" w:rsidRDefault="00737EB2" w:rsidP="00737EB2">
      <w:pPr>
        <w:pStyle w:val="a3"/>
        <w:spacing w:before="0" w:beforeAutospacing="0" w:after="162" w:afterAutospacing="0" w:line="370" w:lineRule="atLeast"/>
        <w:jc w:val="both"/>
        <w:rPr>
          <w:color w:val="3C3C3C"/>
        </w:rPr>
      </w:pPr>
      <w:r>
        <w:rPr>
          <w:color w:val="000000"/>
        </w:rPr>
        <w:t xml:space="preserve">- обеспечение благоприятных условий для развития и поддержки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>
        <w:rPr>
          <w:color w:val="000000"/>
        </w:rPr>
        <w:t>самозанятость</w:t>
      </w:r>
      <w:proofErr w:type="spellEnd"/>
      <w:r>
        <w:rPr>
          <w:color w:val="000000"/>
        </w:rPr>
        <w:t>.</w:t>
      </w:r>
    </w:p>
    <w:p w:rsidR="00737EB2" w:rsidRDefault="00737EB2" w:rsidP="00737EB2">
      <w:pPr>
        <w:pStyle w:val="a3"/>
        <w:spacing w:before="0" w:beforeAutospacing="0" w:after="162" w:afterAutospacing="0" w:line="370" w:lineRule="atLeast"/>
        <w:jc w:val="both"/>
        <w:rPr>
          <w:color w:val="000000"/>
        </w:rPr>
      </w:pPr>
      <w:r>
        <w:rPr>
          <w:color w:val="000000" w:themeColor="text1"/>
        </w:rPr>
        <w:t>Основными целевыми показателями реализации муниципальной программы являются: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численности работников на малых и средних предприятиях, осуществляющих деятельность на территории поселения;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в общем числе малых и средних предприятий доли малых и средних предприятий, осуществляющих свою деятельность в сфере производства;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увеличение доли налоговых поступлений от субъектов малого и среднего предпринимательства в бюджет поселения.</w:t>
      </w:r>
    </w:p>
    <w:p w:rsidR="00737EB2" w:rsidRDefault="00737EB2" w:rsidP="00737EB2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критериев по оценке эффективности программы представлены следующие данные:</w:t>
      </w:r>
    </w:p>
    <w:p w:rsidR="00737EB2" w:rsidRDefault="00737EB2" w:rsidP="00737EB2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B2" w:rsidRDefault="00737EB2" w:rsidP="00737EB2">
      <w:pPr>
        <w:spacing w:after="125" w:line="2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ПОКАЗАТЕЛИ</w:t>
      </w:r>
    </w:p>
    <w:p w:rsidR="00737EB2" w:rsidRDefault="00737EB2" w:rsidP="00737EB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эффективности муниципальной целевой Программы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«Развитие  малого и среднего предпринимательства в муниципальном образовании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Берёзовское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сельское поселение Галичского муниципального  района  Костромской области </w:t>
      </w:r>
      <w:r w:rsidR="000B1FE5">
        <w:rPr>
          <w:rFonts w:ascii="Times New Roman" w:eastAsia="Times New Roman" w:hAnsi="Times New Roman" w:cs="Times New Roman"/>
          <w:color w:val="000000"/>
          <w:sz w:val="24"/>
          <w:szCs w:val="24"/>
        </w:rPr>
        <w:t>на 2022</w:t>
      </w:r>
      <w:r w:rsidR="00B3183C">
        <w:rPr>
          <w:rFonts w:ascii="Times New Roman" w:eastAsia="Times New Roman" w:hAnsi="Times New Roman" w:cs="Times New Roman"/>
          <w:color w:val="000000"/>
          <w:sz w:val="24"/>
          <w:szCs w:val="24"/>
        </w:rPr>
        <w:t>-2024 годы» на 01.01.2025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737EB2" w:rsidRDefault="00737EB2" w:rsidP="00737EB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B2" w:rsidRPr="009E21F6" w:rsidRDefault="00B3183C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 января 2025</w:t>
      </w:r>
      <w:r w:rsidR="00737EB2" w:rsidRPr="009E21F6">
        <w:rPr>
          <w:rFonts w:ascii="Times New Roman" w:eastAsia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="00737EB2" w:rsidRPr="009E21F6">
        <w:rPr>
          <w:rFonts w:ascii="Times New Roman" w:eastAsia="Times New Roman" w:hAnsi="Times New Roman" w:cs="Times New Roman"/>
          <w:sz w:val="24"/>
          <w:szCs w:val="24"/>
        </w:rPr>
        <w:t>Берёзовского</w:t>
      </w:r>
      <w:proofErr w:type="spellEnd"/>
      <w:r w:rsidR="00540B6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действуют 5</w:t>
      </w:r>
      <w:r w:rsidR="00737EB2" w:rsidRPr="009E21F6">
        <w:rPr>
          <w:rFonts w:ascii="Times New Roman" w:eastAsia="Times New Roman" w:hAnsi="Times New Roman" w:cs="Times New Roman"/>
          <w:sz w:val="24"/>
          <w:szCs w:val="24"/>
        </w:rPr>
        <w:t xml:space="preserve">  малых и средних предприятий и  индивидуальных предпринимателя.</w:t>
      </w:r>
    </w:p>
    <w:p w:rsidR="00737EB2" w:rsidRPr="009E21F6" w:rsidRDefault="00737EB2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1085"/>
        <w:gridCol w:w="1701"/>
        <w:gridCol w:w="2099"/>
      </w:tblGrid>
      <w:tr w:rsidR="00737EB2" w:rsidRPr="009E21F6" w:rsidTr="001436FC">
        <w:tc>
          <w:tcPr>
            <w:tcW w:w="5100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029-2014 (КДЕС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</w:t>
            </w:r>
          </w:p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Приказом </w:t>
            </w:r>
            <w:proofErr w:type="spell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31.01.2014 № 14-ст</w:t>
            </w:r>
          </w:p>
        </w:tc>
        <w:tc>
          <w:tcPr>
            <w:tcW w:w="4410" w:type="dxa"/>
            <w:gridSpan w:val="3"/>
            <w:tcBorders>
              <w:top w:val="single" w:sz="6" w:space="0" w:color="99BAD7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737EB2" w:rsidRPr="009E21F6" w:rsidTr="001436F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 w:rsidR="00737EB2" w:rsidRPr="009E21F6" w:rsidTr="001436FC">
        <w:trPr>
          <w:trHeight w:val="720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предприниматели</w:t>
            </w:r>
          </w:p>
        </w:tc>
      </w:tr>
      <w:tr w:rsidR="00737EB2" w:rsidRPr="009E21F6" w:rsidTr="001436FC">
        <w:trPr>
          <w:trHeight w:val="135"/>
        </w:trPr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135" w:lineRule="atLeast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37EB2" w:rsidRPr="009E21F6" w:rsidTr="001436FC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  <w:t> </w:t>
            </w:r>
          </w:p>
        </w:tc>
      </w:tr>
      <w:tr w:rsidR="00737EB2" w:rsidRPr="009E21F6" w:rsidTr="001436FC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1. Сельское, лесное хозяйство, охота, рыболовство и рыбоводство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7EB2" w:rsidRPr="009E21F6" w:rsidTr="001436FC">
        <w:tc>
          <w:tcPr>
            <w:tcW w:w="510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Торговля оптовая и розничная. Розничная торговля в неспециализированных магазинах.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37EB2" w:rsidRPr="009E21F6" w:rsidRDefault="00737EB2" w:rsidP="00737EB2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tbl>
      <w:tblPr>
        <w:tblW w:w="9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090"/>
        <w:gridCol w:w="1701"/>
        <w:gridCol w:w="2099"/>
      </w:tblGrid>
      <w:tr w:rsidR="00737EB2" w:rsidRPr="009E21F6" w:rsidTr="00EE4316">
        <w:tc>
          <w:tcPr>
            <w:tcW w:w="4620" w:type="dxa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</w:t>
            </w:r>
          </w:p>
          <w:p w:rsidR="00737EB2" w:rsidRPr="009E21F6" w:rsidRDefault="00737EB2" w:rsidP="001436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029-2014 (КДЕС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</w:t>
            </w:r>
          </w:p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Приказом </w:t>
            </w:r>
            <w:proofErr w:type="spell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31.01.2014 № 14-ст</w:t>
            </w:r>
          </w:p>
        </w:tc>
        <w:tc>
          <w:tcPr>
            <w:tcW w:w="4890" w:type="dxa"/>
            <w:gridSpan w:val="3"/>
            <w:tcBorders>
              <w:top w:val="single" w:sz="6" w:space="0" w:color="99BAD7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737EB2" w:rsidRPr="009E21F6" w:rsidTr="00EE431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 w:rsidR="00737EB2" w:rsidRPr="009E21F6" w:rsidTr="00EE4316">
        <w:trPr>
          <w:trHeight w:val="720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737EB2" w:rsidRPr="009E21F6" w:rsidRDefault="00737EB2" w:rsidP="0014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предприниматели</w:t>
            </w:r>
          </w:p>
        </w:tc>
      </w:tr>
      <w:tr w:rsidR="00737EB2" w:rsidRPr="009E21F6" w:rsidTr="00EE4316">
        <w:trPr>
          <w:trHeight w:val="720"/>
        </w:trPr>
        <w:tc>
          <w:tcPr>
            <w:tcW w:w="462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20.10.1 « Производство пиломатериалов, кроме профилированных толщиной более 6 мм: </w:t>
            </w:r>
            <w:proofErr w:type="gramStart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непропитанных ж</w:t>
            </w:r>
            <w:proofErr w:type="gramEnd"/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 и трамвайных шпал из древесины»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540B63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37EB2" w:rsidRPr="009E21F6" w:rsidRDefault="00EE4316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7EB2" w:rsidRPr="009E21F6" w:rsidTr="00EE4316">
        <w:trPr>
          <w:trHeight w:val="720"/>
        </w:trPr>
        <w:tc>
          <w:tcPr>
            <w:tcW w:w="4620" w:type="dxa"/>
            <w:tcBorders>
              <w:top w:val="nil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47.11  «Розничная торговля в неспециализированных магазинах»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37EB2" w:rsidRPr="009E21F6" w:rsidRDefault="00737EB2" w:rsidP="001436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E26"/>
                <w:sz w:val="24"/>
                <w:szCs w:val="24"/>
              </w:rPr>
            </w:pPr>
            <w:r w:rsidRPr="009E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3183C" w:rsidRDefault="00B3183C" w:rsidP="00B31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83C" w:rsidRPr="00B3183C" w:rsidRDefault="00B3183C" w:rsidP="00B31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3C">
        <w:rPr>
          <w:rFonts w:ascii="Times New Roman" w:eastAsia="Times New Roman" w:hAnsi="Times New Roman" w:cs="Times New Roman"/>
          <w:sz w:val="24"/>
          <w:szCs w:val="24"/>
        </w:rPr>
        <w:t>Общая численность работающих на предприятиях субъектов малого и среднего бизнеса по итогам 2024 года составила 30 человек, по сравнению с предыдущим годом численность не изменилась. Размер средней заработной платы увеличился и  составляет 22,9 тыс. руб.</w:t>
      </w:r>
    </w:p>
    <w:p w:rsidR="00B3183C" w:rsidRPr="00B3183C" w:rsidRDefault="00B3183C" w:rsidP="00B3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3C">
        <w:rPr>
          <w:rFonts w:ascii="Times New Roman" w:eastAsia="Times New Roman" w:hAnsi="Times New Roman" w:cs="Times New Roman"/>
          <w:sz w:val="24"/>
          <w:szCs w:val="24"/>
        </w:rPr>
        <w:t xml:space="preserve">Торговля достаточно традиционная отрасль для малого и среднего бизнеса. Торговые предприятия работают стабильно, ориентируются на запросы потребителей, расширяют спектр услуг. Так в 2024 году открыты два пункта </w:t>
      </w:r>
      <w:r w:rsidRPr="00B3183C">
        <w:rPr>
          <w:rFonts w:ascii="Times New Roman" w:eastAsia="Times New Roman" w:hAnsi="Times New Roman" w:cs="Times New Roman"/>
          <w:sz w:val="24"/>
          <w:szCs w:val="24"/>
          <w:lang w:val="en-US"/>
        </w:rPr>
        <w:t>OZON</w:t>
      </w:r>
      <w:r w:rsidRPr="00B3183C">
        <w:rPr>
          <w:rFonts w:ascii="Times New Roman" w:eastAsia="Times New Roman" w:hAnsi="Times New Roman" w:cs="Times New Roman"/>
          <w:sz w:val="24"/>
          <w:szCs w:val="24"/>
        </w:rPr>
        <w:t>, что для сельской местности является очень привлекательным моментом.</w:t>
      </w:r>
    </w:p>
    <w:p w:rsidR="00B3183C" w:rsidRPr="00B3183C" w:rsidRDefault="00B3183C" w:rsidP="00B3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83C">
        <w:rPr>
          <w:rFonts w:ascii="Times New Roman" w:eastAsia="Times New Roman" w:hAnsi="Times New Roman" w:cs="Times New Roman"/>
          <w:sz w:val="24"/>
          <w:szCs w:val="24"/>
        </w:rPr>
        <w:t>Предприятия лесной промышленности работают стабильно, испытывают трудности кадрового характера, поскольку большая часть населения работает на крупном сельскохозяйственном предприят</w:t>
      </w:r>
      <w:proofErr w:type="gramStart"/>
      <w:r w:rsidRPr="00B3183C">
        <w:rPr>
          <w:rFonts w:ascii="Times New Roman" w:eastAsia="Times New Roman" w:hAnsi="Times New Roman" w:cs="Times New Roman"/>
          <w:sz w:val="24"/>
          <w:szCs w:val="24"/>
        </w:rPr>
        <w:t>ии ООО</w:t>
      </w:r>
      <w:proofErr w:type="gramEnd"/>
      <w:r w:rsidRPr="00B3183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3183C">
        <w:rPr>
          <w:rFonts w:ascii="Times New Roman" w:eastAsia="Times New Roman" w:hAnsi="Times New Roman" w:cs="Times New Roman"/>
          <w:sz w:val="24"/>
          <w:szCs w:val="24"/>
        </w:rPr>
        <w:t>Ладыгино</w:t>
      </w:r>
      <w:proofErr w:type="spellEnd"/>
      <w:r w:rsidRPr="00B3183C">
        <w:rPr>
          <w:rFonts w:ascii="Times New Roman" w:eastAsia="Times New Roman" w:hAnsi="Times New Roman" w:cs="Times New Roman"/>
          <w:sz w:val="24"/>
          <w:szCs w:val="24"/>
        </w:rPr>
        <w:t>», имеющем большой экономический потенциал. Предпринимателями предпринимаются шаги к модернизации производства, с целью замены людских резервов на производстве.</w:t>
      </w:r>
    </w:p>
    <w:p w:rsidR="00B3183C" w:rsidRPr="00B3183C" w:rsidRDefault="00B3183C" w:rsidP="00B3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EB2" w:rsidRPr="009E21F6" w:rsidRDefault="00737EB2" w:rsidP="00737EB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мероприятий, проводимых в ра</w:t>
      </w:r>
      <w:r w:rsidR="00B3183C">
        <w:rPr>
          <w:rFonts w:ascii="Times New Roman" w:hAnsi="Times New Roman" w:cs="Times New Roman"/>
          <w:sz w:val="24"/>
          <w:szCs w:val="24"/>
        </w:rPr>
        <w:t>мках реализации программы в 2024</w:t>
      </w:r>
      <w:r>
        <w:rPr>
          <w:rFonts w:ascii="Times New Roman" w:hAnsi="Times New Roman" w:cs="Times New Roman"/>
          <w:sz w:val="24"/>
          <w:szCs w:val="24"/>
        </w:rPr>
        <w:t xml:space="preserve"> году: </w:t>
      </w: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470"/>
        <w:gridCol w:w="2210"/>
        <w:gridCol w:w="1571"/>
        <w:gridCol w:w="2675"/>
      </w:tblGrid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Непосредственный результат (краткое описание)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методических, информационных материалов для предпринимателей по различным аспектам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0B1FE5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737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информационной и методической помощи субъектам МСП.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 предоставлении субъектам МСП консультаций по различным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направлениям предпринимательской деятельности (налоги, уровень МРОТ)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0B1FE5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737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информационному обеспечению субъектов МСП. </w:t>
            </w:r>
          </w:p>
        </w:tc>
      </w:tr>
      <w:tr w:rsidR="00737EB2" w:rsidTr="001436FC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Поздравление представителей субъектов МСП с Днём предпринимателя, вручение Благодарственных писем на дне села.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0B1FE5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 2024 г., 06.07.2024</w:t>
            </w:r>
            <w:r w:rsidR="00737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7EB2" w:rsidRDefault="00737EB2" w:rsidP="001436F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имиджа предпринимателей.</w:t>
            </w:r>
          </w:p>
        </w:tc>
      </w:tr>
    </w:tbl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Введение Федерального закона от 24.07.2007 г. № 209-ФЗ «О развитии малого и среднего предпринимательства в Российской Федерации» конкретизировало полномочия органов местного самоуправления в вопросах оказания содействия развитию малого и среднего бизнеса, администр</w:t>
      </w:r>
      <w:r w:rsidR="000B1FE5">
        <w:rPr>
          <w:rFonts w:ascii="Times New Roman" w:hAnsi="Times New Roman" w:cs="Times New Roman"/>
          <w:sz w:val="24"/>
          <w:szCs w:val="24"/>
        </w:rPr>
        <w:t>ацией сельского поселения в 2024</w:t>
      </w:r>
      <w:r>
        <w:rPr>
          <w:rFonts w:ascii="Times New Roman" w:hAnsi="Times New Roman" w:cs="Times New Roman"/>
          <w:sz w:val="24"/>
          <w:szCs w:val="24"/>
        </w:rPr>
        <w:t xml:space="preserve"> году проводилась работа по  мероприятиям, которые в основном не требуют финансирования:</w:t>
      </w: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поддержка субъектов малого и среднего предпринимательства;</w:t>
      </w:r>
    </w:p>
    <w:p w:rsidR="00737EB2" w:rsidRDefault="00737EB2" w:rsidP="00737E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консультационная поддержка субъектов малого и среднего предпринимательства.</w:t>
      </w:r>
    </w:p>
    <w:p w:rsidR="00737EB2" w:rsidRPr="004D1EA1" w:rsidRDefault="00737EB2" w:rsidP="00737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1EA1">
        <w:rPr>
          <w:rFonts w:ascii="Times New Roman" w:eastAsia="Times New Roman" w:hAnsi="Times New Roman" w:cs="Times New Roman"/>
          <w:sz w:val="24"/>
          <w:szCs w:val="24"/>
        </w:rPr>
        <w:t>Кроме того,  информирование граждан и оформлении документов в области содействия занятости населения по мероприятиям для оказания социальной помощи на основании социального контракта малоимущим семьям, малоимущим, одиноко проживающим гражданам, среднедушевой доход которых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по независящим от них причинам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ниже величины прожиточного минимума, установленного в Костромской области, предоставлялся в соответствии с прилагаемой к социальному контракту программой социальной адаптации включающей в себя мероприятия, направленные</w:t>
      </w:r>
      <w:proofErr w:type="gramEnd"/>
      <w:r w:rsidRPr="004D1EA1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доходов гражданина (его семьи) и преодоление гражданином (его семьей) трудной жизненной ситуации, в том числе мероприятия:</w:t>
      </w:r>
    </w:p>
    <w:p w:rsidR="00737EB2" w:rsidRPr="004D1EA1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поиску работу</w:t>
      </w:r>
    </w:p>
    <w:p w:rsidR="00737EB2" w:rsidRPr="004D1EA1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осуществлению индивидуальной предпринимательской деятельности</w:t>
      </w:r>
    </w:p>
    <w:p w:rsidR="00737EB2" w:rsidRPr="004D1EA1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ведению личного подсобного хозяйства</w:t>
      </w:r>
    </w:p>
    <w:p w:rsidR="00737EB2" w:rsidRDefault="00737EB2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EA1">
        <w:rPr>
          <w:rFonts w:ascii="Times New Roman" w:eastAsia="Times New Roman" w:hAnsi="Times New Roman" w:cs="Times New Roman"/>
          <w:sz w:val="24"/>
          <w:szCs w:val="24"/>
        </w:rPr>
        <w:t>- по осуществлению иных мероприятий направленных на преодоление гражданином трудной жизненной ситуации.</w:t>
      </w:r>
    </w:p>
    <w:p w:rsidR="000B1FE5" w:rsidRPr="004D1EA1" w:rsidRDefault="000B1FE5" w:rsidP="0073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Изъявивших желание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заключить социальные контракты было выявлено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два человека, но при проверке справок о доходах, было выявлено превышение величины прожиточного уровня.</w:t>
      </w:r>
    </w:p>
    <w:p w:rsidR="00737EB2" w:rsidRDefault="003355F1" w:rsidP="00737EB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0B1FE5">
        <w:rPr>
          <w:rFonts w:ascii="Times New Roman" w:eastAsia="Times New Roman" w:hAnsi="Times New Roman" w:cs="Times New Roman"/>
          <w:sz w:val="24"/>
          <w:szCs w:val="24"/>
        </w:rPr>
        <w:t>ффективность программы в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540B63">
        <w:rPr>
          <w:rFonts w:ascii="Times New Roman" w:eastAsia="Times New Roman" w:hAnsi="Times New Roman" w:cs="Times New Roman"/>
          <w:sz w:val="24"/>
          <w:szCs w:val="24"/>
        </w:rPr>
        <w:t>у имеет положительную динамику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вопросы информационного и консультационного </w:t>
      </w:r>
      <w:r w:rsidR="00540B63">
        <w:rPr>
          <w:rFonts w:ascii="Times New Roman" w:eastAsia="Times New Roman" w:hAnsi="Times New Roman" w:cs="Times New Roman"/>
          <w:sz w:val="24"/>
          <w:szCs w:val="24"/>
        </w:rPr>
        <w:t>характера, играют также</w:t>
      </w:r>
      <w:r w:rsidR="00737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положительную роль, </w:t>
      </w:r>
      <w:r w:rsidR="000B1FE5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с субъектами МСП являются конструктивными, уровень заработных плат растёт, расширяются объёмы производства и предоставляемые услуги.</w:t>
      </w:r>
      <w:bookmarkStart w:id="0" w:name="_GoBack"/>
      <w:bookmarkEnd w:id="0"/>
    </w:p>
    <w:p w:rsidR="00737EB2" w:rsidRDefault="00737EB2" w:rsidP="00737EB2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7EB2" w:rsidRPr="00F8336D" w:rsidRDefault="00737EB2" w:rsidP="00737E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Берёзовского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С.В.Мельникова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5F6" w:rsidRDefault="007355F6"/>
    <w:sectPr w:rsidR="007355F6" w:rsidSect="00EE4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A5"/>
    <w:rsid w:val="0008555F"/>
    <w:rsid w:val="000B1FE5"/>
    <w:rsid w:val="003355F1"/>
    <w:rsid w:val="00540B63"/>
    <w:rsid w:val="005F4EA9"/>
    <w:rsid w:val="007355F6"/>
    <w:rsid w:val="00737EB2"/>
    <w:rsid w:val="00B314B4"/>
    <w:rsid w:val="00B3183C"/>
    <w:rsid w:val="00C60BA5"/>
    <w:rsid w:val="00EE4316"/>
    <w:rsid w:val="00F8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EB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737E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EB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737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2023-04-24T05:56:00Z</dcterms:created>
  <dcterms:modified xsi:type="dcterms:W3CDTF">2025-05-14T10:50:00Z</dcterms:modified>
</cp:coreProperties>
</file>