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EB2" w:rsidRPr="00F8336D" w:rsidRDefault="00737EB2" w:rsidP="00737EB2">
      <w:pPr>
        <w:shd w:val="clear" w:color="auto" w:fill="FFFFFF"/>
        <w:spacing w:after="0" w:line="252" w:lineRule="atLeast"/>
        <w:jc w:val="center"/>
        <w:rPr>
          <w:rStyle w:val="a5"/>
          <w:rFonts w:ascii="Arial" w:hAnsi="Arial" w:cs="Arial"/>
          <w:color w:val="000000" w:themeColor="text1"/>
          <w:sz w:val="24"/>
          <w:szCs w:val="24"/>
        </w:rPr>
      </w:pPr>
      <w:r w:rsidRPr="00F8336D">
        <w:rPr>
          <w:rStyle w:val="a5"/>
          <w:rFonts w:ascii="Arial" w:hAnsi="Arial" w:cs="Arial"/>
          <w:color w:val="000000" w:themeColor="text1"/>
          <w:sz w:val="24"/>
          <w:szCs w:val="24"/>
        </w:rPr>
        <w:t>ОТЧЁТ</w:t>
      </w:r>
    </w:p>
    <w:p w:rsidR="00737EB2" w:rsidRPr="00F8336D" w:rsidRDefault="00737EB2" w:rsidP="00737EB2">
      <w:pPr>
        <w:shd w:val="clear" w:color="auto" w:fill="FFFFFF"/>
        <w:spacing w:after="0" w:line="252" w:lineRule="atLeast"/>
        <w:jc w:val="center"/>
        <w:rPr>
          <w:rStyle w:val="a5"/>
          <w:rFonts w:ascii="Arial" w:hAnsi="Arial" w:cs="Arial"/>
          <w:color w:val="000000" w:themeColor="text1"/>
          <w:sz w:val="24"/>
          <w:szCs w:val="24"/>
        </w:rPr>
      </w:pPr>
    </w:p>
    <w:p w:rsidR="00737EB2" w:rsidRPr="00F8336D" w:rsidRDefault="00737EB2" w:rsidP="00737EB2">
      <w:pPr>
        <w:shd w:val="clear" w:color="auto" w:fill="FFFFFF"/>
        <w:spacing w:after="0" w:line="252" w:lineRule="atLeast"/>
        <w:jc w:val="center"/>
        <w:rPr>
          <w:rFonts w:eastAsia="Times New Roman"/>
          <w:color w:val="000000"/>
          <w:sz w:val="24"/>
          <w:szCs w:val="24"/>
        </w:rPr>
      </w:pPr>
      <w:r w:rsidRPr="00F8336D">
        <w:rPr>
          <w:rStyle w:val="a5"/>
          <w:rFonts w:ascii="Arial" w:hAnsi="Arial" w:cs="Arial"/>
          <w:color w:val="000000" w:themeColor="text1"/>
          <w:sz w:val="24"/>
          <w:szCs w:val="24"/>
        </w:rPr>
        <w:t xml:space="preserve">Оценка эффективности реализации муниципальной программы  </w:t>
      </w:r>
      <w:r w:rsidRPr="00F8336D">
        <w:rPr>
          <w:rFonts w:ascii="Arial" w:eastAsia="Times New Roman" w:hAnsi="Arial" w:cs="Arial"/>
          <w:b/>
          <w:color w:val="000000"/>
          <w:sz w:val="24"/>
          <w:szCs w:val="24"/>
        </w:rPr>
        <w:t>«Развитие  малого и среднего предпринимательства</w:t>
      </w:r>
    </w:p>
    <w:p w:rsidR="00737EB2" w:rsidRPr="00F8336D" w:rsidRDefault="00737EB2" w:rsidP="00737EB2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F8336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в муниципальном образовании  </w:t>
      </w:r>
      <w:proofErr w:type="spellStart"/>
      <w:r w:rsidRPr="00F8336D">
        <w:rPr>
          <w:rFonts w:ascii="Arial" w:eastAsia="Times New Roman" w:hAnsi="Arial" w:cs="Arial"/>
          <w:b/>
          <w:color w:val="000000"/>
          <w:sz w:val="24"/>
          <w:szCs w:val="24"/>
        </w:rPr>
        <w:t>Берёзовское</w:t>
      </w:r>
      <w:proofErr w:type="spellEnd"/>
      <w:r w:rsidRPr="00F8336D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r w:rsidRPr="00F8336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сельское поселение Галичского муниципального  района </w:t>
      </w:r>
    </w:p>
    <w:p w:rsidR="00737EB2" w:rsidRPr="00F8336D" w:rsidRDefault="00737EB2" w:rsidP="00737EB2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F8336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Костромской об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ласти на 2021-2023 годы» за 2022</w:t>
      </w:r>
      <w:r w:rsidRPr="00F8336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год.</w:t>
      </w:r>
    </w:p>
    <w:p w:rsidR="00737EB2" w:rsidRPr="00F8336D" w:rsidRDefault="00737EB2" w:rsidP="00737EB2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37EB2" w:rsidRDefault="00737EB2" w:rsidP="00737EB2">
      <w:pPr>
        <w:pStyle w:val="a3"/>
        <w:spacing w:before="0" w:beforeAutospacing="0" w:after="162" w:afterAutospacing="0" w:line="370" w:lineRule="atLeast"/>
        <w:jc w:val="both"/>
        <w:rPr>
          <w:color w:val="000000" w:themeColor="text1"/>
        </w:rPr>
      </w:pPr>
      <w:r>
        <w:rPr>
          <w:color w:val="000000" w:themeColor="text1"/>
        </w:rPr>
        <w:t>Основной целью  программы является:</w:t>
      </w:r>
    </w:p>
    <w:p w:rsidR="00737EB2" w:rsidRDefault="00737EB2" w:rsidP="00737EB2">
      <w:pPr>
        <w:pStyle w:val="a3"/>
        <w:spacing w:before="0" w:beforeAutospacing="0" w:after="162" w:afterAutospacing="0" w:line="370" w:lineRule="atLeast"/>
        <w:jc w:val="both"/>
        <w:rPr>
          <w:color w:val="3C3C3C"/>
        </w:rPr>
      </w:pPr>
      <w:r>
        <w:rPr>
          <w:color w:val="000000"/>
        </w:rPr>
        <w:t xml:space="preserve">- обеспечение благоприятных условий для развития и поддержки малого и среднего предпринимательства, увеличение количества субъектов малого и среднего предпринимательства, обеспечение их конкурентоспособности и, как следствие, создание новых рабочих мест и среднего класса, ориентированного на </w:t>
      </w:r>
      <w:proofErr w:type="spellStart"/>
      <w:r>
        <w:rPr>
          <w:color w:val="000000"/>
        </w:rPr>
        <w:t>самозанятость</w:t>
      </w:r>
      <w:proofErr w:type="spellEnd"/>
      <w:r>
        <w:rPr>
          <w:color w:val="000000"/>
        </w:rPr>
        <w:t>.</w:t>
      </w:r>
    </w:p>
    <w:p w:rsidR="00737EB2" w:rsidRDefault="00737EB2" w:rsidP="00737EB2">
      <w:pPr>
        <w:pStyle w:val="a3"/>
        <w:spacing w:before="0" w:beforeAutospacing="0" w:after="162" w:afterAutospacing="0" w:line="370" w:lineRule="atLeast"/>
        <w:jc w:val="both"/>
        <w:rPr>
          <w:color w:val="000000"/>
        </w:rPr>
      </w:pPr>
      <w:r>
        <w:rPr>
          <w:color w:val="000000" w:themeColor="text1"/>
        </w:rPr>
        <w:t>Основными целевыми показателями реализации муниципальной программы являются:</w:t>
      </w:r>
    </w:p>
    <w:p w:rsidR="00737EB2" w:rsidRDefault="00737EB2" w:rsidP="00737EB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-увеличение численности работников на малых и средних предприятиях, осуществляющих деятельность на территории поселения;</w:t>
      </w:r>
    </w:p>
    <w:p w:rsidR="00737EB2" w:rsidRDefault="00737EB2" w:rsidP="00737EB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-увеличение в общем числе малых и средних предприятий доли малых и средних предприятий, осуществляющих свою деятельность в сфере производства;</w:t>
      </w:r>
    </w:p>
    <w:p w:rsidR="00737EB2" w:rsidRDefault="00737EB2" w:rsidP="00737EB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увеличение доли налоговых поступлений от субъектов малого и среднего предпринимательства в бюджет поселения.</w:t>
      </w:r>
    </w:p>
    <w:p w:rsidR="00737EB2" w:rsidRDefault="00737EB2" w:rsidP="00737EB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 критериев по оценке эффективности программы представлены следующие данные:</w:t>
      </w:r>
    </w:p>
    <w:p w:rsidR="00737EB2" w:rsidRDefault="00737EB2" w:rsidP="00737EB2">
      <w:pPr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7EB2" w:rsidRDefault="00737EB2" w:rsidP="00737EB2">
      <w:pPr>
        <w:spacing w:after="125" w:line="22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ПОКАЗАТЕЛИ</w:t>
      </w:r>
    </w:p>
    <w:p w:rsidR="00737EB2" w:rsidRDefault="00737EB2" w:rsidP="00737EB2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эффективности муниципальной целевой Программы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«Развитие  малого и среднего предпринимательства в муниципальном образовании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Берёзовское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сельское поселение Галичского муниципального  района  Костромской области </w:t>
      </w:r>
      <w:r w:rsidR="00EE4316">
        <w:rPr>
          <w:rFonts w:ascii="Times New Roman" w:eastAsia="Times New Roman" w:hAnsi="Times New Roman" w:cs="Times New Roman"/>
          <w:color w:val="000000"/>
          <w:sz w:val="24"/>
          <w:szCs w:val="24"/>
        </w:rPr>
        <w:t>на 2021-2023 годы» на 01.01.2023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737EB2" w:rsidRDefault="00737EB2" w:rsidP="00737EB2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7EB2" w:rsidRPr="009E21F6" w:rsidRDefault="00EE4316" w:rsidP="00737E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1 января 2023</w:t>
      </w:r>
      <w:r w:rsidR="00737EB2" w:rsidRPr="009E21F6">
        <w:rPr>
          <w:rFonts w:ascii="Times New Roman" w:eastAsia="Times New Roman" w:hAnsi="Times New Roman" w:cs="Times New Roman"/>
          <w:sz w:val="24"/>
          <w:szCs w:val="24"/>
        </w:rPr>
        <w:t xml:space="preserve"> года на территории </w:t>
      </w:r>
      <w:proofErr w:type="spellStart"/>
      <w:r w:rsidR="00737EB2" w:rsidRPr="009E21F6">
        <w:rPr>
          <w:rFonts w:ascii="Times New Roman" w:eastAsia="Times New Roman" w:hAnsi="Times New Roman" w:cs="Times New Roman"/>
          <w:sz w:val="24"/>
          <w:szCs w:val="24"/>
        </w:rPr>
        <w:t>Берёзовского</w:t>
      </w:r>
      <w:proofErr w:type="spellEnd"/>
      <w:r w:rsidR="00540B63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действуют 5</w:t>
      </w:r>
      <w:r w:rsidR="00737EB2" w:rsidRPr="009E21F6">
        <w:rPr>
          <w:rFonts w:ascii="Times New Roman" w:eastAsia="Times New Roman" w:hAnsi="Times New Roman" w:cs="Times New Roman"/>
          <w:sz w:val="24"/>
          <w:szCs w:val="24"/>
        </w:rPr>
        <w:t xml:space="preserve">  малых и средних предприятий и  индивидуальных предпринимателя.</w:t>
      </w:r>
    </w:p>
    <w:p w:rsidR="00737EB2" w:rsidRPr="009E21F6" w:rsidRDefault="00737EB2" w:rsidP="00737E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5"/>
        <w:gridCol w:w="1085"/>
        <w:gridCol w:w="1701"/>
        <w:gridCol w:w="2099"/>
      </w:tblGrid>
      <w:tr w:rsidR="00737EB2" w:rsidRPr="009E21F6" w:rsidTr="001436FC">
        <w:tc>
          <w:tcPr>
            <w:tcW w:w="5100" w:type="dxa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737EB2" w:rsidP="001436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экономической деятельности согласно Общероссийскому классификатору видов экономической деятельности</w:t>
            </w:r>
          </w:p>
          <w:p w:rsidR="00737EB2" w:rsidRPr="009E21F6" w:rsidRDefault="00737EB2" w:rsidP="001436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029-2014 (КДЕС</w:t>
            </w:r>
            <w:proofErr w:type="gramStart"/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proofErr w:type="gramEnd"/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 2),</w:t>
            </w:r>
          </w:p>
          <w:p w:rsidR="00737EB2" w:rsidRPr="009E21F6" w:rsidRDefault="00737EB2" w:rsidP="001436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proofErr w:type="gramStart"/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утвержденному</w:t>
            </w:r>
            <w:proofErr w:type="gramEnd"/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Приказом </w:t>
            </w:r>
            <w:proofErr w:type="spellStart"/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Росстандарта</w:t>
            </w:r>
            <w:proofErr w:type="spellEnd"/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31.01.2014 № 14-ст</w:t>
            </w:r>
          </w:p>
        </w:tc>
        <w:tc>
          <w:tcPr>
            <w:tcW w:w="4410" w:type="dxa"/>
            <w:gridSpan w:val="3"/>
            <w:tcBorders>
              <w:top w:val="single" w:sz="6" w:space="0" w:color="99BAD7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737EB2" w:rsidP="001436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субъектов малого и среднего предпринимательства, единиц</w:t>
            </w:r>
          </w:p>
        </w:tc>
      </w:tr>
      <w:tr w:rsidR="00737EB2" w:rsidRPr="009E21F6" w:rsidTr="001436F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737EB2" w:rsidRPr="009E21F6" w:rsidRDefault="00737EB2" w:rsidP="00143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737EB2" w:rsidP="001436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737EB2" w:rsidP="001436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них:</w:t>
            </w:r>
          </w:p>
        </w:tc>
      </w:tr>
      <w:tr w:rsidR="00737EB2" w:rsidRPr="009E21F6" w:rsidTr="001436FC">
        <w:trPr>
          <w:trHeight w:val="720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737EB2" w:rsidRPr="009E21F6" w:rsidRDefault="00737EB2" w:rsidP="00143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737EB2" w:rsidRPr="009E21F6" w:rsidRDefault="00737EB2" w:rsidP="00143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737EB2" w:rsidP="001436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737EB2" w:rsidP="001436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предприниматели</w:t>
            </w:r>
          </w:p>
        </w:tc>
      </w:tr>
      <w:tr w:rsidR="00737EB2" w:rsidRPr="009E21F6" w:rsidTr="001436FC">
        <w:trPr>
          <w:trHeight w:val="135"/>
        </w:trPr>
        <w:tc>
          <w:tcPr>
            <w:tcW w:w="5100" w:type="dxa"/>
            <w:tcBorders>
              <w:top w:val="nil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737EB2" w:rsidP="001436FC">
            <w:pPr>
              <w:spacing w:after="100" w:afterAutospacing="1" w:line="135" w:lineRule="atLeast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540B63" w:rsidP="001436FC">
            <w:pPr>
              <w:spacing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737EB2" w:rsidP="001436FC">
            <w:pPr>
              <w:spacing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540B63" w:rsidP="001436FC">
            <w:pPr>
              <w:spacing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37EB2" w:rsidRPr="009E21F6" w:rsidTr="001436FC">
        <w:tc>
          <w:tcPr>
            <w:tcW w:w="5100" w:type="dxa"/>
            <w:tcBorders>
              <w:top w:val="nil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737EB2" w:rsidP="00143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737EB2" w:rsidP="00143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737EB2" w:rsidP="00143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737EB2" w:rsidP="00143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  <w:t> </w:t>
            </w:r>
          </w:p>
        </w:tc>
      </w:tr>
      <w:tr w:rsidR="00737EB2" w:rsidRPr="009E21F6" w:rsidTr="001436FC">
        <w:tc>
          <w:tcPr>
            <w:tcW w:w="5100" w:type="dxa"/>
            <w:tcBorders>
              <w:top w:val="nil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737EB2" w:rsidP="00143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1. Сельское, лесное хозяйство, охота, рыболовство и рыбоводство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540B63" w:rsidP="001436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737EB2" w:rsidP="001436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540B63" w:rsidP="001436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7EB2" w:rsidRPr="009E21F6" w:rsidTr="001436FC">
        <w:tc>
          <w:tcPr>
            <w:tcW w:w="5100" w:type="dxa"/>
            <w:tcBorders>
              <w:top w:val="nil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737EB2" w:rsidP="00143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2. Торговля оптовая и розничная. Розничная торговля в неспециализированных магазинах.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737EB2" w:rsidP="001436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737EB2" w:rsidP="001436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737EB2" w:rsidP="001436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737EB2" w:rsidRPr="009E21F6" w:rsidRDefault="00737EB2" w:rsidP="00737EB2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tbl>
      <w:tblPr>
        <w:tblW w:w="95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0"/>
        <w:gridCol w:w="1090"/>
        <w:gridCol w:w="1701"/>
        <w:gridCol w:w="2099"/>
      </w:tblGrid>
      <w:tr w:rsidR="00737EB2" w:rsidRPr="009E21F6" w:rsidTr="00EE4316">
        <w:tc>
          <w:tcPr>
            <w:tcW w:w="4620" w:type="dxa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737EB2" w:rsidP="001436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экономической деятельности согласно Общероссийскому классификатору видов экономической деятельности</w:t>
            </w:r>
          </w:p>
          <w:p w:rsidR="00737EB2" w:rsidRPr="009E21F6" w:rsidRDefault="00737EB2" w:rsidP="001436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029-2014 (КДЕС</w:t>
            </w:r>
            <w:proofErr w:type="gramStart"/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proofErr w:type="gramEnd"/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 2),</w:t>
            </w:r>
          </w:p>
          <w:p w:rsidR="00737EB2" w:rsidRPr="009E21F6" w:rsidRDefault="00737EB2" w:rsidP="001436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proofErr w:type="gramStart"/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утвержденному</w:t>
            </w:r>
            <w:proofErr w:type="gramEnd"/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Приказом </w:t>
            </w:r>
            <w:proofErr w:type="spellStart"/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Росстандарта</w:t>
            </w:r>
            <w:proofErr w:type="spellEnd"/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31.01.2014 № 14-ст</w:t>
            </w:r>
          </w:p>
        </w:tc>
        <w:tc>
          <w:tcPr>
            <w:tcW w:w="4890" w:type="dxa"/>
            <w:gridSpan w:val="3"/>
            <w:tcBorders>
              <w:top w:val="single" w:sz="6" w:space="0" w:color="99BAD7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737EB2" w:rsidP="001436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субъектов малого и среднего предпринимательства, единиц</w:t>
            </w:r>
          </w:p>
        </w:tc>
      </w:tr>
      <w:tr w:rsidR="00737EB2" w:rsidRPr="009E21F6" w:rsidTr="00EE431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737EB2" w:rsidRPr="009E21F6" w:rsidRDefault="00737EB2" w:rsidP="00143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737EB2" w:rsidP="001436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800" w:type="dxa"/>
            <w:gridSpan w:val="2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737EB2" w:rsidP="001436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них:</w:t>
            </w:r>
          </w:p>
        </w:tc>
      </w:tr>
      <w:tr w:rsidR="00737EB2" w:rsidRPr="009E21F6" w:rsidTr="00EE4316">
        <w:trPr>
          <w:trHeight w:val="720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737EB2" w:rsidRPr="009E21F6" w:rsidRDefault="00737EB2" w:rsidP="00143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737EB2" w:rsidRPr="009E21F6" w:rsidRDefault="00737EB2" w:rsidP="00143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737EB2" w:rsidP="001436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737EB2" w:rsidP="001436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предприниматели</w:t>
            </w:r>
          </w:p>
        </w:tc>
      </w:tr>
      <w:tr w:rsidR="00737EB2" w:rsidRPr="009E21F6" w:rsidTr="00EE4316">
        <w:trPr>
          <w:trHeight w:val="720"/>
        </w:trPr>
        <w:tc>
          <w:tcPr>
            <w:tcW w:w="4620" w:type="dxa"/>
            <w:tcBorders>
              <w:top w:val="nil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737EB2" w:rsidRPr="009E21F6" w:rsidRDefault="00737EB2" w:rsidP="00143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20.10.1 « Производство пиломатериалов, кроме профилированных толщиной более 6 мм: </w:t>
            </w:r>
            <w:proofErr w:type="gramStart"/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непропитанных ж</w:t>
            </w:r>
            <w:proofErr w:type="gramEnd"/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 и трамвайных шпал из древесины»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737EB2" w:rsidRPr="009E21F6" w:rsidRDefault="00540B63" w:rsidP="001436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540B63" w:rsidP="001436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737EB2" w:rsidRPr="009E21F6" w:rsidRDefault="00EE4316" w:rsidP="001436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7EB2" w:rsidRPr="009E21F6" w:rsidTr="00EE4316">
        <w:trPr>
          <w:trHeight w:val="720"/>
        </w:trPr>
        <w:tc>
          <w:tcPr>
            <w:tcW w:w="4620" w:type="dxa"/>
            <w:tcBorders>
              <w:top w:val="nil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737EB2" w:rsidRPr="009E21F6" w:rsidRDefault="00737EB2" w:rsidP="00143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47.11  «Розничная торговля в неспециализированных магазинах»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737EB2" w:rsidRPr="009E21F6" w:rsidRDefault="00737EB2" w:rsidP="001436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737EB2" w:rsidP="001436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737EB2" w:rsidRPr="009E21F6" w:rsidRDefault="00737EB2" w:rsidP="001436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737EB2" w:rsidRPr="009E21F6" w:rsidRDefault="00737EB2" w:rsidP="00737E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1F6">
        <w:rPr>
          <w:rFonts w:ascii="Times New Roman" w:eastAsia="Times New Roman" w:hAnsi="Times New Roman" w:cs="Times New Roman"/>
          <w:sz w:val="24"/>
          <w:szCs w:val="24"/>
        </w:rPr>
        <w:t>Общая численность работающих на предприятиях субъектов малого и среднего бизнеса по итогам</w:t>
      </w:r>
      <w:r w:rsidR="00540B63">
        <w:rPr>
          <w:rFonts w:ascii="Times New Roman" w:eastAsia="Times New Roman" w:hAnsi="Times New Roman" w:cs="Times New Roman"/>
          <w:sz w:val="24"/>
          <w:szCs w:val="24"/>
        </w:rPr>
        <w:t xml:space="preserve"> 2022 года составила 33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человек, по сравнению с 2021 годом количе</w:t>
      </w:r>
      <w:r w:rsidR="00540B63">
        <w:rPr>
          <w:rFonts w:ascii="Times New Roman" w:eastAsia="Times New Roman" w:hAnsi="Times New Roman" w:cs="Times New Roman"/>
          <w:sz w:val="24"/>
          <w:szCs w:val="24"/>
        </w:rPr>
        <w:t>ство работающих увеличилось на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человека</w:t>
      </w:r>
      <w:r w:rsidR="00F81597">
        <w:rPr>
          <w:rFonts w:ascii="Times New Roman" w:eastAsia="Times New Roman" w:hAnsi="Times New Roman" w:cs="Times New Roman"/>
          <w:sz w:val="24"/>
          <w:szCs w:val="24"/>
        </w:rPr>
        <w:t xml:space="preserve"> (ООО «Бирюса», ООО «Луч», ИП)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E21F6">
        <w:rPr>
          <w:rFonts w:ascii="Times New Roman" w:eastAsia="Times New Roman" w:hAnsi="Times New Roman" w:cs="Times New Roman"/>
          <w:sz w:val="24"/>
          <w:szCs w:val="24"/>
        </w:rPr>
        <w:t xml:space="preserve"> Средня</w:t>
      </w:r>
      <w:r w:rsidR="00EE4316">
        <w:rPr>
          <w:rFonts w:ascii="Times New Roman" w:eastAsia="Times New Roman" w:hAnsi="Times New Roman" w:cs="Times New Roman"/>
          <w:sz w:val="24"/>
          <w:szCs w:val="24"/>
        </w:rPr>
        <w:t>я заработная плата составляет 17</w:t>
      </w:r>
      <w:r w:rsidRPr="009E21F6">
        <w:rPr>
          <w:rFonts w:ascii="Times New Roman" w:eastAsia="Times New Roman" w:hAnsi="Times New Roman" w:cs="Times New Roman"/>
          <w:sz w:val="24"/>
          <w:szCs w:val="24"/>
        </w:rPr>
        <w:t>,8 тыс. 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E4316">
        <w:rPr>
          <w:rFonts w:ascii="Times New Roman" w:eastAsia="Times New Roman" w:hAnsi="Times New Roman" w:cs="Times New Roman"/>
          <w:sz w:val="24"/>
          <w:szCs w:val="24"/>
        </w:rPr>
        <w:t xml:space="preserve">наблюдается её рост. </w:t>
      </w:r>
      <w:r w:rsidRPr="009E21F6">
        <w:rPr>
          <w:rFonts w:ascii="Times New Roman" w:eastAsia="Times New Roman" w:hAnsi="Times New Roman" w:cs="Times New Roman"/>
          <w:sz w:val="24"/>
          <w:szCs w:val="24"/>
        </w:rPr>
        <w:t>Торговля достаточно традиционная отрасль для малого и среднего бизнеса</w:t>
      </w:r>
      <w:r w:rsidR="00F81597">
        <w:rPr>
          <w:rFonts w:ascii="Times New Roman" w:eastAsia="Times New Roman" w:hAnsi="Times New Roman" w:cs="Times New Roman"/>
          <w:sz w:val="24"/>
          <w:szCs w:val="24"/>
        </w:rPr>
        <w:t xml:space="preserve"> (два ИП)</w:t>
      </w:r>
      <w:bookmarkStart w:id="0" w:name="_GoBack"/>
      <w:bookmarkEnd w:id="0"/>
      <w:r w:rsidRPr="009E21F6">
        <w:rPr>
          <w:rFonts w:ascii="Times New Roman" w:eastAsia="Times New Roman" w:hAnsi="Times New Roman" w:cs="Times New Roman"/>
          <w:sz w:val="24"/>
          <w:szCs w:val="24"/>
        </w:rPr>
        <w:t>. Не требующая больших стартовых затрат, обеспечивающая быструю отдачу вложений, она стала довольно привлекательной для малых и средних предприятий и бурно развивающейся на этапе становления.</w:t>
      </w:r>
      <w:r w:rsidR="003355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7EB2" w:rsidRPr="009E21F6" w:rsidRDefault="00737EB2" w:rsidP="00737EB2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7EB2" w:rsidRDefault="00737EB2" w:rsidP="00737EB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основных мероприятий, проводимых в ра</w:t>
      </w:r>
      <w:r w:rsidR="00EE4316">
        <w:rPr>
          <w:rFonts w:ascii="Times New Roman" w:hAnsi="Times New Roman" w:cs="Times New Roman"/>
          <w:sz w:val="24"/>
          <w:szCs w:val="24"/>
        </w:rPr>
        <w:t>мках реализации программы в 2022</w:t>
      </w:r>
      <w:r>
        <w:rPr>
          <w:rFonts w:ascii="Times New Roman" w:hAnsi="Times New Roman" w:cs="Times New Roman"/>
          <w:sz w:val="24"/>
          <w:szCs w:val="24"/>
        </w:rPr>
        <w:t xml:space="preserve"> году: </w:t>
      </w:r>
    </w:p>
    <w:p w:rsidR="00737EB2" w:rsidRDefault="00737EB2" w:rsidP="00737EB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470"/>
        <w:gridCol w:w="2210"/>
        <w:gridCol w:w="1571"/>
        <w:gridCol w:w="2675"/>
      </w:tblGrid>
      <w:tr w:rsidR="00737EB2" w:rsidTr="001436FC"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7EB2" w:rsidRDefault="00737EB2" w:rsidP="001436F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7EB2" w:rsidRDefault="00737EB2" w:rsidP="001436F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7EB2" w:rsidRDefault="00737EB2" w:rsidP="001436F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7EB2" w:rsidRDefault="00737EB2" w:rsidP="001436F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Срок реализации</w:t>
            </w:r>
          </w:p>
        </w:tc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7EB2" w:rsidRDefault="00737EB2" w:rsidP="001436F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Непосредственный результат (краткое описание)</w:t>
            </w:r>
          </w:p>
        </w:tc>
      </w:tr>
      <w:tr w:rsidR="00737EB2" w:rsidTr="001436FC"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7EB2" w:rsidRDefault="00737EB2" w:rsidP="001436F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7EB2" w:rsidRDefault="00737EB2" w:rsidP="001436F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7EB2" w:rsidRDefault="00737EB2" w:rsidP="001436F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7EB2" w:rsidRDefault="00737EB2" w:rsidP="001436F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7EB2" w:rsidRDefault="00737EB2" w:rsidP="001436F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37EB2" w:rsidTr="001436FC"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7EB2" w:rsidRDefault="00737EB2" w:rsidP="001436F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7EB2" w:rsidRDefault="00737EB2" w:rsidP="001436F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Распространение методических, информационных материалов для предпринимателей по различным аспектам</w:t>
            </w: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7EB2" w:rsidRDefault="00737EB2" w:rsidP="001436F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Берёзовского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7EB2" w:rsidRDefault="00EE4316" w:rsidP="001436F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  <w:r w:rsidR="00737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7EB2" w:rsidRDefault="00737EB2" w:rsidP="001436F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развитие информационной и методической помощи субъектам МСП.</w:t>
            </w:r>
          </w:p>
        </w:tc>
      </w:tr>
      <w:tr w:rsidR="00737EB2" w:rsidTr="001436FC"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7EB2" w:rsidRDefault="00737EB2" w:rsidP="001436F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7EB2" w:rsidRDefault="00737EB2" w:rsidP="001436F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Содействие в предоставлении субъектам МСП консультаций по различным направлениям предпринимательской деятельности (налоги, уровень МРОТ)</w:t>
            </w: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7EB2" w:rsidRDefault="00737EB2" w:rsidP="001436F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Берёзовского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7EB2" w:rsidRDefault="00EE4316" w:rsidP="001436F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  <w:r w:rsidR="00737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7EB2" w:rsidRDefault="00737EB2" w:rsidP="001436F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содействие информационному обеспечению субъектов МСП. </w:t>
            </w:r>
          </w:p>
        </w:tc>
      </w:tr>
      <w:tr w:rsidR="00737EB2" w:rsidTr="001436FC"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7EB2" w:rsidRDefault="00737EB2" w:rsidP="001436F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7EB2" w:rsidRDefault="00737EB2" w:rsidP="001436F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Поздравление представителей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субъектов МСП с Днём предпринимателя, вручение Благодарственных писем на дне села.</w:t>
            </w: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7EB2" w:rsidRDefault="00737EB2" w:rsidP="001436F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Берёзовского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7EB2" w:rsidRDefault="00EE4316" w:rsidP="001436F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26.05.2022 г., 06.07.2022</w:t>
            </w:r>
            <w:r w:rsidR="00737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7EB2" w:rsidRDefault="00737EB2" w:rsidP="001436F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поддержка имиджа предпринимателей.</w:t>
            </w:r>
          </w:p>
        </w:tc>
      </w:tr>
    </w:tbl>
    <w:p w:rsidR="00737EB2" w:rsidRDefault="00737EB2" w:rsidP="00737EB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37EB2" w:rsidRDefault="00737EB2" w:rsidP="00737EB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Введение Федерального закона от 24.07.2007 г. № 209-ФЗ «О развитии малого и среднего предпринимательства в Российской Федерации» конкретизировало полномочия органов местного самоуправления в вопросах оказания содействия развитию малого и среднего бизнеса, администр</w:t>
      </w:r>
      <w:r w:rsidR="00EE4316">
        <w:rPr>
          <w:rFonts w:ascii="Times New Roman" w:hAnsi="Times New Roman" w:cs="Times New Roman"/>
          <w:sz w:val="24"/>
          <w:szCs w:val="24"/>
        </w:rPr>
        <w:t>ацией сельского поселения в 2022</w:t>
      </w:r>
      <w:r>
        <w:rPr>
          <w:rFonts w:ascii="Times New Roman" w:hAnsi="Times New Roman" w:cs="Times New Roman"/>
          <w:sz w:val="24"/>
          <w:szCs w:val="24"/>
        </w:rPr>
        <w:t xml:space="preserve"> году проводилась работа по  мероприятиям, которые в основном не требуют финансирования:</w:t>
      </w:r>
    </w:p>
    <w:p w:rsidR="00737EB2" w:rsidRDefault="00737EB2" w:rsidP="00737EB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информационная поддержка субъектов малого и среднего предпринимательства;</w:t>
      </w:r>
    </w:p>
    <w:p w:rsidR="00737EB2" w:rsidRDefault="00737EB2" w:rsidP="00737EB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консультационная поддержка субъектов малого и среднего предпринимательства.</w:t>
      </w:r>
    </w:p>
    <w:p w:rsidR="00737EB2" w:rsidRPr="004D1EA1" w:rsidRDefault="00737EB2" w:rsidP="00737E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D1EA1">
        <w:rPr>
          <w:rFonts w:ascii="Times New Roman" w:eastAsia="Times New Roman" w:hAnsi="Times New Roman" w:cs="Times New Roman"/>
          <w:sz w:val="24"/>
          <w:szCs w:val="24"/>
        </w:rPr>
        <w:t>Кроме того,  информирование граждан и оформлении документов в области содействия занятости населения по мероприятиям для оказания социальной помощи на основании социального контракта малоимущим семьям, малоимущим, одиноко проживающим гражданам, среднедушевой доход которых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D1EA1">
        <w:rPr>
          <w:rFonts w:ascii="Times New Roman" w:eastAsia="Times New Roman" w:hAnsi="Times New Roman" w:cs="Times New Roman"/>
          <w:sz w:val="24"/>
          <w:szCs w:val="24"/>
        </w:rPr>
        <w:t xml:space="preserve"> по независящим от них причинам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1EA1">
        <w:rPr>
          <w:rFonts w:ascii="Times New Roman" w:eastAsia="Times New Roman" w:hAnsi="Times New Roman" w:cs="Times New Roman"/>
          <w:sz w:val="24"/>
          <w:szCs w:val="24"/>
        </w:rPr>
        <w:t xml:space="preserve"> ниже величины прожиточного минимума, установленного в Костромской области, предоставлялся в соответствии с прилагаемой к социальному контракту программой социальной адаптации включающей в себя мероприятия, направленные</w:t>
      </w:r>
      <w:proofErr w:type="gramEnd"/>
      <w:r w:rsidRPr="004D1EA1">
        <w:rPr>
          <w:rFonts w:ascii="Times New Roman" w:eastAsia="Times New Roman" w:hAnsi="Times New Roman" w:cs="Times New Roman"/>
          <w:sz w:val="24"/>
          <w:szCs w:val="24"/>
        </w:rPr>
        <w:t xml:space="preserve"> на повышение доходов гражданина (его семьи) и преодоление гражданином (его семьей) трудной жизненной ситуации, в том числе мероприятия:</w:t>
      </w:r>
    </w:p>
    <w:p w:rsidR="00737EB2" w:rsidRPr="004D1EA1" w:rsidRDefault="00737EB2" w:rsidP="00737E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EA1">
        <w:rPr>
          <w:rFonts w:ascii="Times New Roman" w:eastAsia="Times New Roman" w:hAnsi="Times New Roman" w:cs="Times New Roman"/>
          <w:sz w:val="24"/>
          <w:szCs w:val="24"/>
        </w:rPr>
        <w:t>- по поиску работу</w:t>
      </w:r>
    </w:p>
    <w:p w:rsidR="00737EB2" w:rsidRPr="004D1EA1" w:rsidRDefault="00737EB2" w:rsidP="00737E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EA1">
        <w:rPr>
          <w:rFonts w:ascii="Times New Roman" w:eastAsia="Times New Roman" w:hAnsi="Times New Roman" w:cs="Times New Roman"/>
          <w:sz w:val="24"/>
          <w:szCs w:val="24"/>
        </w:rPr>
        <w:t>- по осуществлению индивидуальной предпринимательской деятельности</w:t>
      </w:r>
    </w:p>
    <w:p w:rsidR="00737EB2" w:rsidRPr="004D1EA1" w:rsidRDefault="00737EB2" w:rsidP="00737E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EA1">
        <w:rPr>
          <w:rFonts w:ascii="Times New Roman" w:eastAsia="Times New Roman" w:hAnsi="Times New Roman" w:cs="Times New Roman"/>
          <w:sz w:val="24"/>
          <w:szCs w:val="24"/>
        </w:rPr>
        <w:t>- по ведению личного подсобного хозяйства</w:t>
      </w:r>
    </w:p>
    <w:p w:rsidR="00737EB2" w:rsidRPr="004D1EA1" w:rsidRDefault="00737EB2" w:rsidP="00737E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EA1">
        <w:rPr>
          <w:rFonts w:ascii="Times New Roman" w:eastAsia="Times New Roman" w:hAnsi="Times New Roman" w:cs="Times New Roman"/>
          <w:sz w:val="24"/>
          <w:szCs w:val="24"/>
        </w:rPr>
        <w:t>- по осуществлению иных мероприятий направленных на преодоление гражданином трудной жизненной ситуации.</w:t>
      </w:r>
    </w:p>
    <w:p w:rsidR="00737EB2" w:rsidRDefault="00737EB2" w:rsidP="00737E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EA1">
        <w:rPr>
          <w:rFonts w:ascii="Times New Roman" w:eastAsia="Times New Roman" w:hAnsi="Times New Roman" w:cs="Times New Roman"/>
          <w:sz w:val="24"/>
          <w:szCs w:val="24"/>
        </w:rPr>
        <w:t>Индивидуальная работа с жителями сельского поселения по данным направлениям проводилась целенаправленно и систематически, вовлечено в программу 2 человека.</w:t>
      </w:r>
      <w:r w:rsidR="00EE4316">
        <w:rPr>
          <w:rFonts w:ascii="Times New Roman" w:eastAsia="Times New Roman" w:hAnsi="Times New Roman" w:cs="Times New Roman"/>
          <w:sz w:val="24"/>
          <w:szCs w:val="24"/>
        </w:rPr>
        <w:t xml:space="preserve"> Одна семья воспользовалась заключением социального контракта по ведению ЛПХ, другая получила услугу </w:t>
      </w:r>
      <w:r w:rsidR="00EE4316" w:rsidRPr="004D1EA1">
        <w:rPr>
          <w:rFonts w:ascii="Times New Roman" w:eastAsia="Times New Roman" w:hAnsi="Times New Roman" w:cs="Times New Roman"/>
          <w:sz w:val="24"/>
          <w:szCs w:val="24"/>
        </w:rPr>
        <w:t>по осуществлению иных мероприятий направленных на преодоление гражданином трудной жизненной ситуации</w:t>
      </w:r>
      <w:r w:rsidR="00EE43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355F1">
        <w:rPr>
          <w:rFonts w:ascii="Times New Roman" w:eastAsia="Times New Roman" w:hAnsi="Times New Roman" w:cs="Times New Roman"/>
          <w:sz w:val="24"/>
          <w:szCs w:val="24"/>
        </w:rPr>
        <w:t>Данное направление работы продолжено будет и в 2023 году, п</w:t>
      </w:r>
      <w:r w:rsidR="00F81597">
        <w:rPr>
          <w:rFonts w:ascii="Times New Roman" w:eastAsia="Times New Roman" w:hAnsi="Times New Roman" w:cs="Times New Roman"/>
          <w:sz w:val="24"/>
          <w:szCs w:val="24"/>
        </w:rPr>
        <w:t>одобраны кандидатуры двух семей</w:t>
      </w:r>
      <w:r w:rsidR="003355F1">
        <w:rPr>
          <w:rFonts w:ascii="Times New Roman" w:eastAsia="Times New Roman" w:hAnsi="Times New Roman" w:cs="Times New Roman"/>
          <w:sz w:val="24"/>
          <w:szCs w:val="24"/>
        </w:rPr>
        <w:t>, желающих заключить социальные контракты по ведению личного подсобного хозяйства.</w:t>
      </w:r>
    </w:p>
    <w:p w:rsidR="00F81597" w:rsidRPr="00F8336D" w:rsidRDefault="00F81597" w:rsidP="00737E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7EB2" w:rsidRDefault="003355F1" w:rsidP="00737EB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sz w:val="24"/>
          <w:szCs w:val="24"/>
        </w:rPr>
        <w:t>ффективность программы в 2022 год</w:t>
      </w:r>
      <w:r w:rsidR="00540B63">
        <w:rPr>
          <w:rFonts w:ascii="Times New Roman" w:eastAsia="Times New Roman" w:hAnsi="Times New Roman" w:cs="Times New Roman"/>
          <w:sz w:val="24"/>
          <w:szCs w:val="24"/>
        </w:rPr>
        <w:t>у имеет положительную динамику</w:t>
      </w:r>
      <w:r w:rsidR="00737E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7EB2">
        <w:rPr>
          <w:rFonts w:ascii="Times New Roman" w:eastAsia="Times New Roman" w:hAnsi="Times New Roman" w:cs="Times New Roman"/>
          <w:sz w:val="24"/>
          <w:szCs w:val="24"/>
        </w:rPr>
        <w:t xml:space="preserve">вопросы информационного и консультационного </w:t>
      </w:r>
      <w:r w:rsidR="00540B63">
        <w:rPr>
          <w:rFonts w:ascii="Times New Roman" w:eastAsia="Times New Roman" w:hAnsi="Times New Roman" w:cs="Times New Roman"/>
          <w:sz w:val="24"/>
          <w:szCs w:val="24"/>
        </w:rPr>
        <w:t>характера, играют также</w:t>
      </w:r>
      <w:r w:rsidR="00737E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положительную роль, что отражается </w:t>
      </w:r>
      <w:r w:rsidR="00737EB2">
        <w:rPr>
          <w:rFonts w:ascii="Times New Roman" w:eastAsia="Times New Roman" w:hAnsi="Times New Roman" w:cs="Times New Roman"/>
          <w:sz w:val="24"/>
          <w:szCs w:val="24"/>
        </w:rPr>
        <w:t xml:space="preserve"> на росте колич</w:t>
      </w:r>
      <w:r>
        <w:rPr>
          <w:rFonts w:ascii="Times New Roman" w:eastAsia="Times New Roman" w:hAnsi="Times New Roman" w:cs="Times New Roman"/>
          <w:sz w:val="24"/>
          <w:szCs w:val="24"/>
        </w:rPr>
        <w:t>ества граждан, желающих получить меры социальной поддержки на основании социального контракта</w:t>
      </w:r>
      <w:r w:rsidR="00737EB2">
        <w:rPr>
          <w:rFonts w:ascii="Times New Roman" w:eastAsia="Times New Roman" w:hAnsi="Times New Roman" w:cs="Times New Roman"/>
          <w:sz w:val="24"/>
          <w:szCs w:val="24"/>
        </w:rPr>
        <w:t xml:space="preserve"> на территории сельского поселения.</w:t>
      </w:r>
    </w:p>
    <w:p w:rsidR="00737EB2" w:rsidRDefault="00737EB2" w:rsidP="00737EB2">
      <w:pPr>
        <w:pStyle w:val="a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37EB2" w:rsidRPr="00F8336D" w:rsidRDefault="00737EB2" w:rsidP="00737EB2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Берёзовского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С.В.Мельникова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55F6" w:rsidRDefault="007355F6"/>
    <w:sectPr w:rsidR="007355F6" w:rsidSect="00EE43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BA5"/>
    <w:rsid w:val="0008555F"/>
    <w:rsid w:val="003355F1"/>
    <w:rsid w:val="00540B63"/>
    <w:rsid w:val="007355F6"/>
    <w:rsid w:val="00737EB2"/>
    <w:rsid w:val="00B314B4"/>
    <w:rsid w:val="00C60BA5"/>
    <w:rsid w:val="00EE4316"/>
    <w:rsid w:val="00F8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E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7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37EB2"/>
    <w:pPr>
      <w:spacing w:after="0" w:line="240" w:lineRule="auto"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737E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E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7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37EB2"/>
    <w:pPr>
      <w:spacing w:after="0" w:line="240" w:lineRule="auto"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737E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2023-04-24T05:56:00Z</dcterms:created>
  <dcterms:modified xsi:type="dcterms:W3CDTF">2023-04-28T05:47:00Z</dcterms:modified>
</cp:coreProperties>
</file>